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3"/>
        <w:gridCol w:w="4463"/>
      </w:tblGrid>
      <w:tr w:rsidR="009F592A" w:rsidRPr="00AD3734" w:rsidTr="00AD3734"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9F592A" w:rsidRPr="005C63CB" w:rsidRDefault="009F592A" w:rsidP="00AD3734">
            <w:pPr>
              <w:pStyle w:val="Ttulo1"/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9F592A" w:rsidRPr="000065A9" w:rsidRDefault="009F592A" w:rsidP="000065A9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  <w:lang w:val="eu-ES"/>
              </w:rPr>
            </w:pPr>
            <w:r w:rsidRPr="000065A9">
              <w:rPr>
                <w:rFonts w:cs="Arial"/>
                <w:b/>
                <w:sz w:val="22"/>
                <w:szCs w:val="22"/>
                <w:u w:val="single"/>
                <w:lang w:val="eu-ES"/>
              </w:rPr>
              <w:t>IRAGARKIA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54188" w:rsidRPr="000065A9" w:rsidRDefault="00411793" w:rsidP="000065A9">
            <w:pPr>
              <w:pStyle w:val="Textoindependiente2"/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>
              <w:rPr>
                <w:b/>
                <w:sz w:val="22"/>
                <w:szCs w:val="22"/>
                <w:lang w:val="eu-ES"/>
              </w:rPr>
              <w:t>Udalbatzak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20</w:t>
            </w:r>
            <w:r w:rsidR="00AD3734" w:rsidRPr="000065A9">
              <w:rPr>
                <w:b/>
                <w:sz w:val="22"/>
                <w:szCs w:val="22"/>
                <w:lang w:val="eu-ES"/>
              </w:rPr>
              <w:t>1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>6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ko 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martxoaren </w:t>
            </w:r>
            <w:r>
              <w:rPr>
                <w:b/>
                <w:sz w:val="22"/>
                <w:szCs w:val="22"/>
                <w:lang w:val="eu-ES"/>
              </w:rPr>
              <w:t>17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 xml:space="preserve">an onartutako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 Urretxuko </w:t>
            </w:r>
            <w:r w:rsidR="00747C12" w:rsidRPr="000065A9">
              <w:rPr>
                <w:b/>
                <w:sz w:val="22"/>
                <w:szCs w:val="22"/>
                <w:lang w:val="eu-ES"/>
              </w:rPr>
              <w:t>Udale</w:t>
            </w:r>
            <w:r>
              <w:rPr>
                <w:b/>
                <w:sz w:val="22"/>
                <w:szCs w:val="22"/>
                <w:lang w:val="eu-ES"/>
              </w:rPr>
              <w:t xml:space="preserve">rako lan arriskuen prebentziorako zerbitzua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 xml:space="preserve">esleitzeko prozedura irekia eta ohiko tramitazioaren bidez egindako deialdia </w:t>
            </w:r>
          </w:p>
          <w:p w:rsidR="009F592A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411793" w:rsidRDefault="00411793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411793" w:rsidRPr="000065A9" w:rsidRDefault="00411793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04287" w:rsidRPr="000065A9" w:rsidRDefault="00D04287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411793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I.- Kontratuaren helburua</w:t>
            </w:r>
            <w:r w:rsidRPr="000065A9">
              <w:rPr>
                <w:sz w:val="22"/>
                <w:szCs w:val="22"/>
                <w:lang w:val="eu-ES"/>
              </w:rPr>
              <w:t xml:space="preserve">.- Urretxuko </w:t>
            </w:r>
            <w:r w:rsidR="000065A9" w:rsidRPr="000065A9">
              <w:rPr>
                <w:sz w:val="22"/>
                <w:szCs w:val="22"/>
                <w:lang w:val="eu-ES"/>
              </w:rPr>
              <w:t>Udal</w:t>
            </w:r>
            <w:r w:rsidR="000065A9">
              <w:rPr>
                <w:sz w:val="22"/>
                <w:szCs w:val="22"/>
                <w:lang w:val="eu-ES"/>
              </w:rPr>
              <w:t>e</w:t>
            </w:r>
            <w:r w:rsidR="00411793">
              <w:rPr>
                <w:sz w:val="22"/>
                <w:szCs w:val="22"/>
                <w:lang w:val="eu-ES"/>
              </w:rPr>
              <w:t xml:space="preserve">rako lan arriskuen prebentziorako zerbitzua </w:t>
            </w:r>
            <w:r w:rsidRPr="000065A9">
              <w:rPr>
                <w:sz w:val="22"/>
                <w:szCs w:val="22"/>
                <w:lang w:val="eu-ES"/>
              </w:rPr>
              <w:t xml:space="preserve">esleitzea da prozedura  honen helburua, beti ere , kontratu hau arautzen duten  Oinarri </w:t>
            </w:r>
            <w:r w:rsidR="000065A9" w:rsidRPr="000065A9">
              <w:rPr>
                <w:sz w:val="22"/>
                <w:szCs w:val="22"/>
                <w:lang w:val="eu-ES"/>
              </w:rPr>
              <w:t>Administratiboen</w:t>
            </w:r>
            <w:r w:rsidR="00411793">
              <w:rPr>
                <w:sz w:val="22"/>
                <w:szCs w:val="22"/>
                <w:lang w:val="eu-ES"/>
              </w:rPr>
              <w:t xml:space="preserve"> Pleguaren eta Oinarri Teknikoen Pleguaren </w:t>
            </w:r>
            <w:r w:rsidR="00747C12" w:rsidRPr="000065A9">
              <w:rPr>
                <w:sz w:val="22"/>
                <w:szCs w:val="22"/>
                <w:lang w:val="eu-ES"/>
              </w:rPr>
              <w:t xml:space="preserve"> </w:t>
            </w:r>
            <w:r w:rsidRPr="000065A9">
              <w:rPr>
                <w:sz w:val="22"/>
                <w:szCs w:val="22"/>
                <w:lang w:val="eu-ES"/>
              </w:rPr>
              <w:t>arabera</w:t>
            </w:r>
            <w:r w:rsidR="00D04287" w:rsidRPr="000065A9">
              <w:rPr>
                <w:sz w:val="22"/>
                <w:szCs w:val="22"/>
                <w:lang w:val="eu-ES"/>
              </w:rPr>
              <w:t xml:space="preserve">. </w:t>
            </w:r>
            <w:r w:rsidR="000065A9" w:rsidRPr="000065A9">
              <w:rPr>
                <w:sz w:val="22"/>
                <w:szCs w:val="22"/>
                <w:lang w:val="eu-ES"/>
              </w:rPr>
              <w:t>Bi dokumentu</w:t>
            </w:r>
            <w:r w:rsidR="00411793">
              <w:rPr>
                <w:sz w:val="22"/>
                <w:szCs w:val="22"/>
                <w:lang w:val="eu-ES"/>
              </w:rPr>
              <w:t xml:space="preserve"> hauek kontratua arautzen dutelarik. </w:t>
            </w:r>
          </w:p>
          <w:p w:rsidR="000065A9" w:rsidRP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II.- Enkante-muga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411793" w:rsidRDefault="002D215A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Kontratuaren</w:t>
            </w:r>
            <w:r w:rsidR="00411793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 gehiengo </w:t>
            </w: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 </w:t>
            </w:r>
            <w:r w:rsidR="00D04287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enkante-muga </w:t>
            </w:r>
            <w:r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honako</w:t>
            </w:r>
            <w:r w:rsidR="00332F72" w:rsidRPr="000065A9">
              <w:rPr>
                <w:rFonts w:cs="Arial"/>
                <w:spacing w:val="-3"/>
                <w:sz w:val="22"/>
                <w:szCs w:val="22"/>
                <w:lang w:val="eu-ES"/>
              </w:rPr>
              <w:t>a izango da</w:t>
            </w:r>
            <w:r w:rsidR="000065A9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 </w:t>
            </w:r>
            <w:r w:rsidR="00411793">
              <w:rPr>
                <w:rFonts w:cs="Arial"/>
                <w:spacing w:val="-3"/>
                <w:sz w:val="22"/>
                <w:szCs w:val="22"/>
                <w:lang w:val="eu-ES"/>
              </w:rPr>
              <w:t>:</w:t>
            </w:r>
          </w:p>
          <w:p w:rsidR="00411793" w:rsidRDefault="00411793" w:rsidP="00ED148C">
            <w:pPr>
              <w:pStyle w:val="Prrafodelista"/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 xml:space="preserve">Lan </w:t>
            </w:r>
            <w:r w:rsidR="00ED148C"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>arriskuen</w:t>
            </w:r>
            <w:r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 xml:space="preserve"> prebentzio zerbitzua eta </w:t>
            </w:r>
            <w:r w:rsidR="00ED148C"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>emergentzia</w:t>
            </w:r>
            <w:r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 xml:space="preserve"> eta </w:t>
            </w:r>
            <w:proofErr w:type="spellStart"/>
            <w:r w:rsidR="00ED148C"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>autobabeserako</w:t>
            </w:r>
            <w:proofErr w:type="spellEnd"/>
            <w:r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 xml:space="preserve"> planean </w:t>
            </w:r>
            <w:proofErr w:type="spellStart"/>
            <w:r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>eguneraketa</w:t>
            </w:r>
            <w:proofErr w:type="spellEnd"/>
            <w:r w:rsidRPr="00ED148C"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; </w:t>
            </w:r>
            <w:r w:rsidRPr="00ED148C">
              <w:rPr>
                <w:rFonts w:cs="Arial"/>
                <w:b/>
                <w:spacing w:val="-3"/>
                <w:sz w:val="22"/>
                <w:szCs w:val="22"/>
                <w:lang w:val="eu-ES"/>
              </w:rPr>
              <w:t>1.700 € urteko</w:t>
            </w:r>
            <w:r w:rsidRPr="00ED148C">
              <w:rPr>
                <w:rFonts w:cs="Arial"/>
                <w:spacing w:val="-3"/>
                <w:sz w:val="22"/>
                <w:szCs w:val="22"/>
                <w:lang w:val="eu-ES"/>
              </w:rPr>
              <w:t>, BEZ barne</w:t>
            </w:r>
          </w:p>
          <w:p w:rsidR="00ED148C" w:rsidRPr="00ED148C" w:rsidRDefault="00ED148C" w:rsidP="00ED148C">
            <w:pPr>
              <w:pStyle w:val="Prrafodelista"/>
              <w:numPr>
                <w:ilvl w:val="0"/>
                <w:numId w:val="11"/>
              </w:num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  <w:r w:rsidRPr="00ED148C">
              <w:rPr>
                <w:rFonts w:cs="Arial"/>
                <w:spacing w:val="-3"/>
                <w:sz w:val="22"/>
                <w:szCs w:val="22"/>
                <w:u w:val="single"/>
                <w:lang w:val="eu-ES"/>
              </w:rPr>
              <w:t>Azterketa medikuak:</w:t>
            </w:r>
            <w:r>
              <w:rPr>
                <w:rFonts w:cs="Arial"/>
                <w:spacing w:val="-3"/>
                <w:sz w:val="22"/>
                <w:szCs w:val="22"/>
                <w:lang w:val="eu-ES"/>
              </w:rPr>
              <w:t xml:space="preserve"> </w:t>
            </w:r>
            <w:r w:rsidRPr="00ED148C">
              <w:rPr>
                <w:rFonts w:cs="Arial"/>
                <w:b/>
                <w:spacing w:val="-3"/>
                <w:sz w:val="22"/>
                <w:szCs w:val="22"/>
                <w:lang w:val="eu-ES"/>
              </w:rPr>
              <w:t>68 € bakoitzak</w:t>
            </w:r>
            <w:r>
              <w:rPr>
                <w:rFonts w:cs="Arial"/>
                <w:spacing w:val="-3"/>
                <w:sz w:val="22"/>
                <w:szCs w:val="22"/>
                <w:lang w:val="eu-ES"/>
              </w:rPr>
              <w:t>, BEZ barne.</w:t>
            </w:r>
          </w:p>
          <w:p w:rsidR="00411793" w:rsidRDefault="00411793" w:rsidP="000065A9">
            <w:pPr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cs="Arial"/>
                <w:spacing w:val="-3"/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III.- Ordainketa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>Esleipen prezioaren ordainketa indarrean dagoen Aurrekontuko dagokion  diru-atalen kargura egingo da.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lastRenderedPageBreak/>
              <w:t xml:space="preserve">IV.- </w:t>
            </w:r>
            <w:r w:rsidR="000065A9" w:rsidRPr="000065A9">
              <w:rPr>
                <w:b/>
                <w:sz w:val="22"/>
                <w:szCs w:val="22"/>
                <w:lang w:val="eu-ES"/>
              </w:rPr>
              <w:t>Baldintza</w:t>
            </w:r>
            <w:r w:rsidRPr="000065A9">
              <w:rPr>
                <w:b/>
                <w:sz w:val="22"/>
                <w:szCs w:val="22"/>
                <w:lang w:val="eu-ES"/>
              </w:rPr>
              <w:t xml:space="preserve"> Administratibo Berezien  publizitatea.</w:t>
            </w:r>
            <w:r w:rsidRPr="000065A9">
              <w:rPr>
                <w:sz w:val="22"/>
                <w:szCs w:val="22"/>
                <w:lang w:val="eu-ES"/>
              </w:rPr>
              <w:t xml:space="preserve">- Lanegun guztietan egongo da ikusgai Idazkaritzaren saileko udal-bulegoetan eta </w:t>
            </w:r>
            <w:hyperlink r:id="rId8" w:history="1">
              <w:r w:rsidR="000065A9" w:rsidRPr="00F2181A">
                <w:rPr>
                  <w:rStyle w:val="Hipervnculo"/>
                  <w:sz w:val="22"/>
                  <w:szCs w:val="22"/>
                  <w:lang w:val="eu-ES"/>
                </w:rPr>
                <w:t>www.urretxu.eus</w:t>
              </w:r>
            </w:hyperlink>
            <w:r w:rsidRPr="000065A9">
              <w:rPr>
                <w:sz w:val="22"/>
                <w:szCs w:val="22"/>
                <w:lang w:val="eu-ES"/>
              </w:rPr>
              <w:t xml:space="preserve"> web gunean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D04287" w:rsidRPr="000065A9" w:rsidRDefault="00D04287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V.- </w:t>
            </w:r>
            <w:proofErr w:type="spellStart"/>
            <w:r w:rsidRPr="000065A9">
              <w:rPr>
                <w:b/>
                <w:sz w:val="22"/>
                <w:szCs w:val="22"/>
                <w:lang w:val="eu-ES"/>
              </w:rPr>
              <w:t>Bermak</w:t>
            </w:r>
            <w:proofErr w:type="spellEnd"/>
          </w:p>
          <w:p w:rsidR="009F592A" w:rsidRPr="000065A9" w:rsidRDefault="009F592A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Behin-behineko berma: </w:t>
            </w:r>
            <w:r w:rsidRPr="000065A9">
              <w:rPr>
                <w:sz w:val="22"/>
                <w:szCs w:val="22"/>
                <w:lang w:val="eu-ES"/>
              </w:rPr>
              <w:t>Ez da eskatzen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Behin-betiko bermea.-</w:t>
            </w:r>
            <w:r w:rsidRPr="000065A9">
              <w:rPr>
                <w:sz w:val="22"/>
                <w:szCs w:val="22"/>
                <w:lang w:val="eu-ES"/>
              </w:rPr>
              <w:t xml:space="preserve">  Esleipenaren %</w:t>
            </w:r>
            <w:r w:rsidR="002D215A" w:rsidRPr="000065A9">
              <w:rPr>
                <w:sz w:val="22"/>
                <w:szCs w:val="22"/>
                <w:lang w:val="eu-ES"/>
              </w:rPr>
              <w:t>5</w:t>
            </w:r>
            <w:r w:rsidR="000065A9">
              <w:rPr>
                <w:sz w:val="22"/>
                <w:szCs w:val="22"/>
                <w:lang w:val="eu-ES"/>
              </w:rPr>
              <w:t>. (</w:t>
            </w:r>
            <w:r w:rsidRPr="000065A9">
              <w:rPr>
                <w:sz w:val="22"/>
                <w:szCs w:val="22"/>
                <w:lang w:val="eu-ES"/>
              </w:rPr>
              <w:t>BEZ kanpo)</w:t>
            </w:r>
          </w:p>
          <w:p w:rsidR="00D04287" w:rsidRPr="000065A9" w:rsidRDefault="00D04287" w:rsidP="000065A9">
            <w:pPr>
              <w:spacing w:line="276" w:lineRule="auto"/>
              <w:jc w:val="both"/>
              <w:rPr>
                <w:b/>
                <w:sz w:val="22"/>
                <w:szCs w:val="22"/>
                <w:lang w:val="eu-ES"/>
              </w:rPr>
            </w:pPr>
          </w:p>
          <w:p w:rsidR="005C63CB" w:rsidRPr="000065A9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 xml:space="preserve">VI.- 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Eskaintzak aurkeztea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lang w:val="eu-ES"/>
              </w:rPr>
              <w:t xml:space="preserve">Iragarki hau GAOn argitaratu eta hurrengo </w:t>
            </w:r>
            <w:r w:rsidR="00ED148C">
              <w:rPr>
                <w:sz w:val="22"/>
                <w:szCs w:val="22"/>
                <w:lang w:val="eu-ES"/>
              </w:rPr>
              <w:t>15</w:t>
            </w:r>
            <w:r w:rsidRPr="000065A9">
              <w:rPr>
                <w:sz w:val="22"/>
                <w:szCs w:val="22"/>
                <w:lang w:val="eu-ES"/>
              </w:rPr>
              <w:t xml:space="preserve"> egun naturaleko epe barruan.</w:t>
            </w:r>
          </w:p>
          <w:p w:rsidR="009F592A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5C63CB" w:rsidRPr="000065A9" w:rsidRDefault="009F592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VII.- Eskaintzak irekitzea</w:t>
            </w:r>
            <w:r w:rsidRPr="000065A9">
              <w:rPr>
                <w:sz w:val="22"/>
                <w:szCs w:val="22"/>
                <w:lang w:val="eu-ES"/>
              </w:rPr>
              <w:t xml:space="preserve">.- </w:t>
            </w:r>
          </w:p>
          <w:p w:rsidR="009F592A" w:rsidRDefault="005C63CB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t xml:space="preserve">B </w:t>
            </w:r>
            <w:r w:rsidR="000065A9" w:rsidRPr="000065A9">
              <w:rPr>
                <w:sz w:val="22"/>
                <w:szCs w:val="22"/>
                <w:u w:val="single"/>
                <w:lang w:val="eu-ES"/>
              </w:rPr>
              <w:t>kartazala</w:t>
            </w:r>
            <w:r w:rsidRPr="000065A9">
              <w:rPr>
                <w:sz w:val="22"/>
                <w:szCs w:val="22"/>
                <w:lang w:val="eu-ES"/>
              </w:rPr>
              <w:t xml:space="preserve">: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Dokumentazio orokorreko </w:t>
            </w:r>
            <w:r w:rsidRPr="000065A9">
              <w:rPr>
                <w:sz w:val="22"/>
                <w:szCs w:val="22"/>
                <w:lang w:val="eu-ES"/>
              </w:rPr>
              <w:t xml:space="preserve">A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kartazalak ireki eta biharamunetik </w:t>
            </w:r>
            <w:r w:rsidRPr="000065A9">
              <w:rPr>
                <w:sz w:val="22"/>
                <w:szCs w:val="22"/>
                <w:lang w:val="eu-ES"/>
              </w:rPr>
              <w:t>hirugarren</w:t>
            </w:r>
            <w:r w:rsidR="00332F72" w:rsidRPr="000065A9">
              <w:rPr>
                <w:sz w:val="22"/>
                <w:szCs w:val="22"/>
                <w:lang w:val="eu-ES"/>
              </w:rPr>
              <w:t xml:space="preserve"> 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 lanegu</w:t>
            </w:r>
            <w:r w:rsidR="000065A9">
              <w:rPr>
                <w:sz w:val="22"/>
                <w:szCs w:val="22"/>
                <w:lang w:val="eu-ES"/>
              </w:rPr>
              <w:t>ne</w:t>
            </w:r>
            <w:r w:rsidR="009F592A" w:rsidRPr="000065A9">
              <w:rPr>
                <w:sz w:val="22"/>
                <w:szCs w:val="22"/>
                <w:lang w:val="eu-ES"/>
              </w:rPr>
              <w:t>an egingo da.</w:t>
            </w:r>
          </w:p>
          <w:p w:rsid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  <w:r w:rsidRPr="000065A9">
              <w:rPr>
                <w:sz w:val="22"/>
                <w:szCs w:val="22"/>
                <w:u w:val="single"/>
                <w:lang w:val="eu-ES"/>
              </w:rPr>
              <w:t>C kartazalak</w:t>
            </w:r>
            <w:r>
              <w:rPr>
                <w:sz w:val="22"/>
                <w:szCs w:val="22"/>
                <w:lang w:val="eu-ES"/>
              </w:rPr>
              <w:t xml:space="preserve">: B kartazaleko irizpideak baloratzeko epea eta biharamunetik bigarren egunean egingo da. </w:t>
            </w:r>
          </w:p>
          <w:p w:rsidR="000065A9" w:rsidRPr="000065A9" w:rsidRDefault="000065A9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2D215A" w:rsidRPr="000065A9" w:rsidRDefault="002D215A" w:rsidP="000065A9">
            <w:pPr>
              <w:spacing w:line="276" w:lineRule="auto"/>
              <w:jc w:val="both"/>
              <w:rPr>
                <w:sz w:val="22"/>
                <w:szCs w:val="22"/>
                <w:lang w:val="eu-ES"/>
              </w:rPr>
            </w:pPr>
          </w:p>
          <w:p w:rsidR="009F592A" w:rsidRPr="00AD3734" w:rsidRDefault="005C63CB" w:rsidP="000065A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065A9">
              <w:rPr>
                <w:b/>
                <w:sz w:val="22"/>
                <w:szCs w:val="22"/>
                <w:lang w:val="eu-ES"/>
              </w:rPr>
              <w:t>IX</w:t>
            </w:r>
            <w:r w:rsidR="009F592A" w:rsidRPr="000065A9">
              <w:rPr>
                <w:b/>
                <w:sz w:val="22"/>
                <w:szCs w:val="22"/>
                <w:lang w:val="eu-ES"/>
              </w:rPr>
              <w:t>.- Eskaintza eredua</w:t>
            </w:r>
            <w:r w:rsidR="009F592A" w:rsidRPr="000065A9">
              <w:rPr>
                <w:sz w:val="22"/>
                <w:szCs w:val="22"/>
                <w:lang w:val="eu-ES"/>
              </w:rPr>
              <w:t xml:space="preserve">.- </w:t>
            </w:r>
            <w:r w:rsidRPr="000065A9">
              <w:rPr>
                <w:sz w:val="22"/>
                <w:szCs w:val="22"/>
                <w:lang w:val="eu-ES"/>
              </w:rPr>
              <w:t>Pleguan jasota</w:t>
            </w:r>
            <w:r w:rsidR="000065A9">
              <w:rPr>
                <w:sz w:val="22"/>
                <w:szCs w:val="22"/>
                <w:lang w:val="eu-ES"/>
              </w:rPr>
              <w:t xml:space="preserve"> agertzen </w:t>
            </w:r>
            <w:proofErr w:type="spellStart"/>
            <w:r w:rsidR="000065A9">
              <w:rPr>
                <w:sz w:val="22"/>
                <w:szCs w:val="22"/>
                <w:lang w:val="eu-ES"/>
              </w:rPr>
              <w:t>dena</w:t>
            </w:r>
            <w:r w:rsidRPr="000065A9">
              <w:rPr>
                <w:sz w:val="22"/>
                <w:szCs w:val="22"/>
                <w:lang w:val="eu-ES"/>
              </w:rPr>
              <w:t>I</w:t>
            </w:r>
            <w:proofErr w:type="spellEnd"/>
          </w:p>
        </w:tc>
        <w:tc>
          <w:tcPr>
            <w:tcW w:w="4463" w:type="dxa"/>
            <w:tcBorders>
              <w:top w:val="nil"/>
              <w:left w:val="nil"/>
              <w:bottom w:val="nil"/>
              <w:right w:val="nil"/>
            </w:tcBorders>
          </w:tcPr>
          <w:p w:rsidR="009F592A" w:rsidRPr="00AD3734" w:rsidRDefault="009F592A" w:rsidP="00AD3734">
            <w:pPr>
              <w:pStyle w:val="Ttulo1"/>
              <w:jc w:val="both"/>
              <w:rPr>
                <w:sz w:val="22"/>
                <w:szCs w:val="22"/>
              </w:rPr>
            </w:pPr>
          </w:p>
          <w:p w:rsidR="009F592A" w:rsidRPr="00747C12" w:rsidRDefault="009F592A" w:rsidP="00747C12">
            <w:pPr>
              <w:pStyle w:val="Ttulo1"/>
              <w:spacing w:line="276" w:lineRule="auto"/>
              <w:jc w:val="center"/>
              <w:rPr>
                <w:rFonts w:cs="Arial"/>
                <w:b/>
                <w:sz w:val="22"/>
                <w:szCs w:val="22"/>
                <w:u w:val="single"/>
              </w:rPr>
            </w:pPr>
            <w:r w:rsidRPr="00747C12">
              <w:rPr>
                <w:rFonts w:cs="Arial"/>
                <w:b/>
                <w:sz w:val="22"/>
                <w:szCs w:val="22"/>
                <w:u w:val="single"/>
              </w:rPr>
              <w:t>ANUNCIO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747C12" w:rsidRPr="00747C12" w:rsidRDefault="009F592A" w:rsidP="00747C12">
            <w:pPr>
              <w:pStyle w:val="Textoindependiente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Mediante acuerdo adoptado por </w:t>
            </w:r>
            <w:r w:rsidR="00411793">
              <w:rPr>
                <w:rFonts w:cs="Arial"/>
                <w:b/>
                <w:sz w:val="22"/>
                <w:szCs w:val="22"/>
              </w:rPr>
              <w:t>el Ayuntamiento Pleno en sesión celebrada el 17 de marzo de 2016</w:t>
            </w:r>
            <w:r w:rsidRPr="00747C12">
              <w:rPr>
                <w:rFonts w:cs="Arial"/>
                <w:b/>
                <w:sz w:val="22"/>
                <w:szCs w:val="22"/>
              </w:rPr>
              <w:t xml:space="preserve">. </w:t>
            </w:r>
            <w:proofErr w:type="gramStart"/>
            <w:r w:rsidRPr="00747C12">
              <w:rPr>
                <w:rFonts w:cs="Arial"/>
                <w:b/>
                <w:sz w:val="22"/>
                <w:szCs w:val="22"/>
              </w:rPr>
              <w:t>se</w:t>
            </w:r>
            <w:proofErr w:type="gramEnd"/>
            <w:r w:rsidRPr="00747C12">
              <w:rPr>
                <w:rFonts w:cs="Arial"/>
                <w:b/>
                <w:sz w:val="22"/>
                <w:szCs w:val="22"/>
              </w:rPr>
              <w:t xml:space="preserve"> aprobó convocar 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 xml:space="preserve">licitación para la contratación, </w:t>
            </w:r>
            <w:r w:rsidRPr="00747C12">
              <w:rPr>
                <w:rFonts w:cs="Arial"/>
                <w:b/>
                <w:sz w:val="22"/>
                <w:szCs w:val="22"/>
              </w:rPr>
              <w:t>p</w:t>
            </w:r>
            <w:r w:rsidR="003D4CC6" w:rsidRPr="00747C12">
              <w:rPr>
                <w:rFonts w:cs="Arial"/>
                <w:b/>
                <w:sz w:val="22"/>
                <w:szCs w:val="22"/>
              </w:rPr>
              <w:t>or pr</w:t>
            </w:r>
            <w:r w:rsidRPr="00747C12">
              <w:rPr>
                <w:rFonts w:cs="Arial"/>
                <w:b/>
                <w:sz w:val="22"/>
                <w:szCs w:val="22"/>
              </w:rPr>
              <w:t>ocedimiento abierto, tramitación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 ordinaria, </w:t>
            </w:r>
            <w:r w:rsidR="00411793">
              <w:rPr>
                <w:rFonts w:cs="Arial"/>
                <w:b/>
                <w:sz w:val="22"/>
                <w:szCs w:val="22"/>
              </w:rPr>
              <w:t xml:space="preserve">el servicio de prevención de riesgos laborales para el Ayuntamiento de </w:t>
            </w:r>
            <w:proofErr w:type="spellStart"/>
            <w:r w:rsidR="00411793">
              <w:rPr>
                <w:rFonts w:cs="Arial"/>
                <w:b/>
                <w:sz w:val="22"/>
                <w:szCs w:val="22"/>
              </w:rPr>
              <w:t>Urretxu</w:t>
            </w:r>
            <w:proofErr w:type="spellEnd"/>
            <w:r w:rsidR="00411793">
              <w:rPr>
                <w:rFonts w:cs="Arial"/>
                <w:b/>
                <w:sz w:val="22"/>
                <w:szCs w:val="22"/>
              </w:rPr>
              <w:t>.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 xml:space="preserve">. </w:t>
            </w:r>
          </w:p>
          <w:p w:rsidR="00D54188" w:rsidRPr="00747C12" w:rsidRDefault="009F592A" w:rsidP="00747C12">
            <w:pPr>
              <w:pStyle w:val="Textoindependiente"/>
              <w:spacing w:line="276" w:lineRule="auto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:rsidR="00747C12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I.- Objeto del contrato</w:t>
            </w:r>
            <w:r w:rsidRPr="00747C12">
              <w:rPr>
                <w:rFonts w:cs="Arial"/>
                <w:sz w:val="22"/>
                <w:szCs w:val="22"/>
              </w:rPr>
              <w:t>.- .Es objeto del contrato la adjudicación de</w:t>
            </w:r>
            <w:r w:rsidR="00411793">
              <w:rPr>
                <w:rFonts w:cs="Arial"/>
                <w:sz w:val="22"/>
                <w:szCs w:val="22"/>
              </w:rPr>
              <w:t xml:space="preserve">l servicio de prevención de riesgos laborales del Ayuntamiento de </w:t>
            </w:r>
            <w:proofErr w:type="spellStart"/>
            <w:r w:rsidR="00411793">
              <w:rPr>
                <w:rFonts w:cs="Arial"/>
                <w:sz w:val="22"/>
                <w:szCs w:val="22"/>
              </w:rPr>
              <w:t>Urretxu</w:t>
            </w:r>
            <w:proofErr w:type="spellEnd"/>
            <w:proofErr w:type="gramStart"/>
            <w:r w:rsidR="00411793">
              <w:rPr>
                <w:rFonts w:cs="Arial"/>
                <w:sz w:val="22"/>
                <w:szCs w:val="22"/>
              </w:rPr>
              <w:t>,</w:t>
            </w:r>
            <w:r w:rsidR="00747C12" w:rsidRPr="00747C12">
              <w:rPr>
                <w:rFonts w:cs="Arial"/>
                <w:sz w:val="22"/>
                <w:szCs w:val="22"/>
              </w:rPr>
              <w:t>,</w:t>
            </w:r>
            <w:proofErr w:type="gramEnd"/>
            <w:r w:rsidR="00747C12" w:rsidRPr="00747C12">
              <w:rPr>
                <w:rFonts w:cs="Arial"/>
                <w:sz w:val="22"/>
                <w:szCs w:val="22"/>
              </w:rPr>
              <w:t xml:space="preserve"> según el Pliego de Cláusulas Particulares y </w:t>
            </w:r>
            <w:r w:rsidR="00411793">
              <w:rPr>
                <w:rFonts w:cs="Arial"/>
                <w:sz w:val="22"/>
                <w:szCs w:val="22"/>
              </w:rPr>
              <w:t>el Pliego de Prescripciones Técnicas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,  documentos ambos que rigen el presente contrato. </w:t>
            </w:r>
          </w:p>
          <w:p w:rsidR="009F592A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411793" w:rsidRPr="00747C12" w:rsidRDefault="00411793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II.- Tipo de licitación</w:t>
            </w:r>
            <w:r w:rsidRPr="00747C12">
              <w:rPr>
                <w:rFonts w:cs="Arial"/>
                <w:sz w:val="22"/>
                <w:szCs w:val="22"/>
              </w:rPr>
              <w:t xml:space="preserve">.-  </w:t>
            </w:r>
          </w:p>
          <w:p w:rsidR="00411793" w:rsidRDefault="00AD3734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411793">
              <w:rPr>
                <w:rFonts w:cs="Arial"/>
                <w:sz w:val="22"/>
                <w:szCs w:val="22"/>
              </w:rPr>
              <w:t xml:space="preserve">El </w:t>
            </w:r>
            <w:r w:rsidR="00411793" w:rsidRPr="00411793">
              <w:rPr>
                <w:rFonts w:cs="Arial"/>
                <w:sz w:val="22"/>
                <w:szCs w:val="22"/>
              </w:rPr>
              <w:t>presupuesto  tipo de licitación , con carácter de máximo, será de:</w:t>
            </w:r>
          </w:p>
          <w:p w:rsidR="00411793" w:rsidRDefault="00411793" w:rsidP="0041179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411793">
              <w:rPr>
                <w:rFonts w:cs="Arial"/>
                <w:sz w:val="22"/>
                <w:szCs w:val="22"/>
                <w:u w:val="single"/>
              </w:rPr>
              <w:t>Servicio de prevención de riesgos y actualización de planes de emergencia y autoprotección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  <w:r w:rsidRPr="00ED148C">
              <w:rPr>
                <w:rFonts w:cs="Arial"/>
                <w:b/>
                <w:sz w:val="22"/>
                <w:szCs w:val="22"/>
              </w:rPr>
              <w:t>1.700 € anuales,</w:t>
            </w:r>
            <w:r>
              <w:rPr>
                <w:rFonts w:cs="Arial"/>
                <w:sz w:val="22"/>
                <w:szCs w:val="22"/>
              </w:rPr>
              <w:t xml:space="preserve"> IVA incluido.</w:t>
            </w:r>
          </w:p>
          <w:p w:rsidR="00411793" w:rsidRPr="00411793" w:rsidRDefault="00411793" w:rsidP="00411793">
            <w:pPr>
              <w:pStyle w:val="Prrafodelista"/>
              <w:numPr>
                <w:ilvl w:val="0"/>
                <w:numId w:val="10"/>
              </w:num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Reconocimientos médicos</w:t>
            </w:r>
            <w:r w:rsidRPr="00411793">
              <w:rPr>
                <w:rFonts w:cs="Arial"/>
                <w:sz w:val="22"/>
                <w:szCs w:val="22"/>
              </w:rPr>
              <w:t>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ED148C">
              <w:rPr>
                <w:rFonts w:cs="Arial"/>
                <w:b/>
                <w:sz w:val="22"/>
                <w:szCs w:val="22"/>
              </w:rPr>
              <w:t>68 € unidad</w:t>
            </w:r>
            <w:r>
              <w:rPr>
                <w:rFonts w:cs="Arial"/>
                <w:sz w:val="22"/>
                <w:szCs w:val="22"/>
              </w:rPr>
              <w:t xml:space="preserve"> IVA incluido.</w:t>
            </w:r>
          </w:p>
          <w:p w:rsidR="00411793" w:rsidRDefault="00411793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ED148C" w:rsidRDefault="00ED148C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  <w:lang w:val="pt-BR"/>
              </w:rPr>
            </w:pPr>
          </w:p>
          <w:p w:rsidR="009F592A" w:rsidRPr="00747C12" w:rsidRDefault="009F592A" w:rsidP="00747C12">
            <w:pPr>
              <w:autoSpaceDE w:val="0"/>
              <w:autoSpaceDN w:val="0"/>
              <w:adjustRightInd w:val="0"/>
              <w:spacing w:before="100" w:line="276" w:lineRule="auto"/>
              <w:jc w:val="both"/>
              <w:rPr>
                <w:rFonts w:cs="Arial"/>
                <w:color w:val="000000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III.- Pago</w:t>
            </w:r>
            <w:r w:rsidRPr="00747C12">
              <w:rPr>
                <w:rFonts w:cs="Arial"/>
                <w:sz w:val="22"/>
                <w:szCs w:val="22"/>
              </w:rPr>
              <w:t>.- El pago del precio de adjudicación se hará efectivo con cargo a las partidas correspondientes del Presupuesto  en vigor</w:t>
            </w:r>
            <w:r w:rsidRPr="00747C12">
              <w:rPr>
                <w:rFonts w:cs="Arial"/>
                <w:color w:val="000000"/>
                <w:sz w:val="22"/>
                <w:szCs w:val="22"/>
              </w:rPr>
              <w:t xml:space="preserve">. </w:t>
            </w:r>
          </w:p>
          <w:p w:rsidR="000065A9" w:rsidRDefault="000065A9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ED148C" w:rsidRPr="00747C12" w:rsidRDefault="00ED148C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lastRenderedPageBreak/>
              <w:t xml:space="preserve">IV.- Publicidad del Pliego de </w:t>
            </w:r>
            <w:proofErr w:type="spellStart"/>
            <w:r w:rsidRPr="00747C12">
              <w:rPr>
                <w:rFonts w:cs="Arial"/>
                <w:b/>
                <w:sz w:val="22"/>
                <w:szCs w:val="22"/>
              </w:rPr>
              <w:t>Claúsulas</w:t>
            </w:r>
            <w:proofErr w:type="spellEnd"/>
            <w:r w:rsidRPr="00747C12">
              <w:rPr>
                <w:rFonts w:cs="Arial"/>
                <w:b/>
                <w:sz w:val="22"/>
                <w:szCs w:val="22"/>
              </w:rPr>
              <w:t xml:space="preserve"> Administrativas Particulares </w:t>
            </w:r>
            <w:r w:rsidRPr="00747C12">
              <w:rPr>
                <w:rFonts w:cs="Arial"/>
                <w:sz w:val="22"/>
                <w:szCs w:val="22"/>
              </w:rPr>
              <w:t>.- Estará de manifiesto todos los días hábiles en las Oficin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as Municipales, departamento de </w:t>
            </w:r>
            <w:r w:rsidRPr="00747C12">
              <w:rPr>
                <w:rFonts w:cs="Arial"/>
                <w:sz w:val="22"/>
                <w:szCs w:val="22"/>
              </w:rPr>
              <w:t xml:space="preserve">Secretaría y en la siguiente página web </w:t>
            </w:r>
            <w:hyperlink r:id="rId9" w:history="1">
              <w:r w:rsidR="00747C12" w:rsidRPr="00747C12">
                <w:rPr>
                  <w:rStyle w:val="Hipervnculo"/>
                  <w:rFonts w:cs="Arial"/>
                  <w:sz w:val="22"/>
                  <w:szCs w:val="22"/>
                </w:rPr>
                <w:t>www.urretxu.eus</w:t>
              </w:r>
            </w:hyperlink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V. – Garantías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 xml:space="preserve">Garantía provisional: </w:t>
            </w:r>
            <w:r w:rsidRPr="00747C12">
              <w:rPr>
                <w:rFonts w:cs="Arial"/>
                <w:sz w:val="22"/>
                <w:szCs w:val="22"/>
              </w:rPr>
              <w:t>No se exige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Garantía definitiva</w:t>
            </w:r>
            <w:r w:rsidRPr="00747C12">
              <w:rPr>
                <w:rFonts w:cs="Arial"/>
                <w:sz w:val="22"/>
                <w:szCs w:val="22"/>
              </w:rPr>
              <w:t xml:space="preserve">.- El </w:t>
            </w:r>
            <w:r w:rsidR="00AD3734" w:rsidRPr="00747C12">
              <w:rPr>
                <w:rFonts w:cs="Arial"/>
                <w:sz w:val="22"/>
                <w:szCs w:val="22"/>
              </w:rPr>
              <w:t>5</w:t>
            </w:r>
            <w:r w:rsidRPr="00747C12">
              <w:rPr>
                <w:rFonts w:cs="Arial"/>
                <w:sz w:val="22"/>
                <w:szCs w:val="22"/>
              </w:rPr>
              <w:t xml:space="preserve"> % del presupuesto de adjudicación ( IVA excluido)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</w:t>
            </w:r>
            <w:r w:rsidR="00747C12" w:rsidRPr="00747C12">
              <w:rPr>
                <w:rFonts w:cs="Arial"/>
                <w:b/>
                <w:sz w:val="22"/>
                <w:szCs w:val="22"/>
              </w:rPr>
              <w:t>I</w:t>
            </w:r>
            <w:r w:rsidRPr="00747C12">
              <w:rPr>
                <w:rFonts w:cs="Arial"/>
                <w:b/>
                <w:sz w:val="22"/>
                <w:szCs w:val="22"/>
              </w:rPr>
              <w:t>.- Presentación de proposiciones</w:t>
            </w:r>
            <w:r w:rsidRPr="00747C12">
              <w:rPr>
                <w:rFonts w:cs="Arial"/>
                <w:sz w:val="22"/>
                <w:szCs w:val="22"/>
              </w:rPr>
              <w:t xml:space="preserve">.- Durante  los </w:t>
            </w:r>
            <w:r w:rsidR="00411793">
              <w:rPr>
                <w:rFonts w:cs="Arial"/>
                <w:sz w:val="22"/>
                <w:szCs w:val="22"/>
              </w:rPr>
              <w:t>15</w:t>
            </w:r>
            <w:r w:rsidRPr="00747C12">
              <w:rPr>
                <w:rFonts w:cs="Arial"/>
                <w:sz w:val="22"/>
                <w:szCs w:val="22"/>
              </w:rPr>
              <w:t xml:space="preserve"> días naturales siguientes a la publicación de este anuncio en el BOG.</w:t>
            </w:r>
          </w:p>
          <w:p w:rsidR="009F592A" w:rsidRPr="00747C12" w:rsidRDefault="009F592A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3D4CC6" w:rsidRPr="00747C12" w:rsidRDefault="005C63CB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Apertura de proposiciones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</w:t>
            </w:r>
          </w:p>
          <w:p w:rsidR="009F592A" w:rsidRPr="00747C12" w:rsidRDefault="003D4CC6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t>Sobre B</w:t>
            </w:r>
            <w:r w:rsidRPr="00747C12">
              <w:rPr>
                <w:rFonts w:cs="Arial"/>
                <w:sz w:val="22"/>
                <w:szCs w:val="22"/>
              </w:rPr>
              <w:t xml:space="preserve">: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Tendrá lugar el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tercer día </w:t>
            </w:r>
            <w:r w:rsidR="00332F72" w:rsidRPr="00747C12">
              <w:rPr>
                <w:rFonts w:cs="Arial"/>
                <w:sz w:val="22"/>
                <w:szCs w:val="22"/>
              </w:rPr>
              <w:t xml:space="preserve">siguiente </w:t>
            </w:r>
            <w:r w:rsidRPr="00747C12">
              <w:rPr>
                <w:rFonts w:cs="Arial"/>
                <w:sz w:val="22"/>
                <w:szCs w:val="22"/>
              </w:rPr>
              <w:t xml:space="preserve"> </w:t>
            </w:r>
            <w:r w:rsidR="00747C12" w:rsidRPr="00747C12">
              <w:rPr>
                <w:rFonts w:cs="Arial"/>
                <w:sz w:val="22"/>
                <w:szCs w:val="22"/>
              </w:rPr>
              <w:t xml:space="preserve">hábil 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a la apertura de los sobres </w:t>
            </w:r>
            <w:r w:rsidRPr="00747C12">
              <w:rPr>
                <w:rFonts w:cs="Arial"/>
                <w:sz w:val="22"/>
                <w:szCs w:val="22"/>
              </w:rPr>
              <w:t>A de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 documentación general.</w:t>
            </w:r>
          </w:p>
          <w:p w:rsidR="00747C12" w:rsidRPr="00747C12" w:rsidRDefault="00747C1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sz w:val="22"/>
                <w:szCs w:val="22"/>
                <w:u w:val="single"/>
              </w:rPr>
              <w:t>Sobre C:</w:t>
            </w:r>
            <w:r w:rsidRPr="00747C12">
              <w:rPr>
                <w:rFonts w:cs="Arial"/>
                <w:sz w:val="22"/>
                <w:szCs w:val="22"/>
              </w:rPr>
              <w:t xml:space="preserve"> Tendrá lugar el segundo día siguiente    a la finalización del plazo de valoración de los criterios contenidos en el sobre B. </w:t>
            </w:r>
          </w:p>
          <w:p w:rsidR="00332F72" w:rsidRPr="00747C12" w:rsidRDefault="00332F7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</w:p>
          <w:p w:rsidR="009F592A" w:rsidRPr="00747C12" w:rsidRDefault="00747C12" w:rsidP="00747C12">
            <w:pPr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747C12">
              <w:rPr>
                <w:rFonts w:cs="Arial"/>
                <w:b/>
                <w:sz w:val="22"/>
                <w:szCs w:val="22"/>
              </w:rPr>
              <w:t>VIII</w:t>
            </w:r>
            <w:r w:rsidR="009F592A" w:rsidRPr="00747C12">
              <w:rPr>
                <w:rFonts w:cs="Arial"/>
                <w:b/>
                <w:sz w:val="22"/>
                <w:szCs w:val="22"/>
              </w:rPr>
              <w:t>.- Modelo de proposición</w:t>
            </w:r>
            <w:r w:rsidR="009F592A" w:rsidRPr="00747C12">
              <w:rPr>
                <w:rFonts w:cs="Arial"/>
                <w:sz w:val="22"/>
                <w:szCs w:val="22"/>
              </w:rPr>
              <w:t xml:space="preserve">.- El recogido </w:t>
            </w:r>
            <w:r w:rsidR="003D4CC6" w:rsidRPr="00747C12">
              <w:rPr>
                <w:rFonts w:cs="Arial"/>
                <w:sz w:val="22"/>
                <w:szCs w:val="22"/>
              </w:rPr>
              <w:t xml:space="preserve">en el </w:t>
            </w:r>
            <w:r w:rsidRPr="00747C12">
              <w:rPr>
                <w:rFonts w:cs="Arial"/>
                <w:sz w:val="22"/>
                <w:szCs w:val="22"/>
              </w:rPr>
              <w:t xml:space="preserve">Pliego de Cláusulas Administrativas Particulares. </w:t>
            </w:r>
          </w:p>
          <w:p w:rsidR="009F592A" w:rsidRPr="00AD3734" w:rsidRDefault="009F592A" w:rsidP="00AD3734">
            <w:pPr>
              <w:jc w:val="both"/>
              <w:rPr>
                <w:sz w:val="22"/>
                <w:szCs w:val="22"/>
              </w:rPr>
            </w:pPr>
          </w:p>
        </w:tc>
      </w:tr>
    </w:tbl>
    <w:p w:rsidR="009F592A" w:rsidRDefault="009F592A" w:rsidP="00AD3734">
      <w:pPr>
        <w:jc w:val="both"/>
        <w:rPr>
          <w:sz w:val="22"/>
          <w:szCs w:val="22"/>
        </w:rPr>
      </w:pPr>
    </w:p>
    <w:p w:rsidR="00332F72" w:rsidRPr="00AD3734" w:rsidRDefault="00332F72" w:rsidP="00AD3734">
      <w:pPr>
        <w:jc w:val="both"/>
        <w:rPr>
          <w:sz w:val="22"/>
          <w:szCs w:val="22"/>
        </w:rPr>
      </w:pPr>
    </w:p>
    <w:p w:rsidR="009F592A" w:rsidRPr="00411793" w:rsidRDefault="009F592A" w:rsidP="002D215A">
      <w:pPr>
        <w:jc w:val="center"/>
        <w:rPr>
          <w:sz w:val="22"/>
          <w:szCs w:val="22"/>
          <w:lang w:val="en-US"/>
        </w:rPr>
      </w:pPr>
      <w:proofErr w:type="spellStart"/>
      <w:r w:rsidRPr="00411793">
        <w:rPr>
          <w:sz w:val="22"/>
          <w:szCs w:val="22"/>
          <w:lang w:val="en-US"/>
        </w:rPr>
        <w:t>Urretxun</w:t>
      </w:r>
      <w:proofErr w:type="spellEnd"/>
      <w:r w:rsidRPr="00411793">
        <w:rPr>
          <w:sz w:val="22"/>
          <w:szCs w:val="22"/>
          <w:lang w:val="en-US"/>
        </w:rPr>
        <w:t>, 20</w:t>
      </w:r>
      <w:r w:rsidR="002D215A" w:rsidRPr="00411793">
        <w:rPr>
          <w:sz w:val="22"/>
          <w:szCs w:val="22"/>
          <w:lang w:val="en-US"/>
        </w:rPr>
        <w:t>1</w:t>
      </w:r>
      <w:r w:rsidR="000065A9" w:rsidRPr="00411793">
        <w:rPr>
          <w:sz w:val="22"/>
          <w:szCs w:val="22"/>
          <w:lang w:val="en-US"/>
        </w:rPr>
        <w:t>6</w:t>
      </w:r>
      <w:r w:rsidRPr="00411793">
        <w:rPr>
          <w:sz w:val="22"/>
          <w:szCs w:val="22"/>
          <w:lang w:val="en-US"/>
        </w:rPr>
        <w:t xml:space="preserve">ko </w:t>
      </w:r>
      <w:proofErr w:type="spellStart"/>
      <w:r w:rsidR="000065A9" w:rsidRPr="00411793">
        <w:rPr>
          <w:sz w:val="22"/>
          <w:szCs w:val="22"/>
          <w:lang w:val="en-US"/>
        </w:rPr>
        <w:t>martxoaren</w:t>
      </w:r>
      <w:proofErr w:type="spellEnd"/>
      <w:r w:rsidR="000065A9" w:rsidRPr="00411793">
        <w:rPr>
          <w:sz w:val="22"/>
          <w:szCs w:val="22"/>
          <w:lang w:val="en-US"/>
        </w:rPr>
        <w:t xml:space="preserve"> </w:t>
      </w:r>
      <w:r w:rsidR="00ED148C">
        <w:rPr>
          <w:sz w:val="22"/>
          <w:szCs w:val="22"/>
          <w:lang w:val="en-US"/>
        </w:rPr>
        <w:t>22</w:t>
      </w:r>
      <w:r w:rsidR="000065A9" w:rsidRPr="00411793">
        <w:rPr>
          <w:sz w:val="22"/>
          <w:szCs w:val="22"/>
          <w:lang w:val="en-US"/>
        </w:rPr>
        <w:t>an</w:t>
      </w:r>
    </w:p>
    <w:p w:rsidR="002D215A" w:rsidRPr="00411793" w:rsidRDefault="002D215A" w:rsidP="002D215A">
      <w:pPr>
        <w:jc w:val="center"/>
        <w:rPr>
          <w:sz w:val="22"/>
          <w:szCs w:val="22"/>
          <w:lang w:val="en-US"/>
        </w:rPr>
      </w:pPr>
    </w:p>
    <w:p w:rsidR="009F592A" w:rsidRPr="00411793" w:rsidRDefault="009F592A" w:rsidP="002D215A">
      <w:pPr>
        <w:jc w:val="center"/>
        <w:rPr>
          <w:sz w:val="22"/>
          <w:szCs w:val="22"/>
          <w:lang w:val="en-US"/>
        </w:rPr>
      </w:pPr>
      <w:proofErr w:type="spellStart"/>
      <w:r w:rsidRPr="00411793">
        <w:rPr>
          <w:sz w:val="22"/>
          <w:szCs w:val="22"/>
          <w:lang w:val="en-US"/>
        </w:rPr>
        <w:t>Alkateak</w:t>
      </w:r>
      <w:proofErr w:type="spellEnd"/>
      <w:r w:rsidRPr="00411793">
        <w:rPr>
          <w:sz w:val="22"/>
          <w:szCs w:val="22"/>
          <w:lang w:val="en-US"/>
        </w:rPr>
        <w:t>,</w:t>
      </w:r>
    </w:p>
    <w:p w:rsidR="009F592A" w:rsidRPr="00411793" w:rsidRDefault="009F592A" w:rsidP="002D215A">
      <w:pPr>
        <w:jc w:val="center"/>
        <w:rPr>
          <w:sz w:val="22"/>
          <w:szCs w:val="22"/>
          <w:lang w:val="en-US"/>
        </w:rPr>
      </w:pPr>
    </w:p>
    <w:p w:rsidR="009F592A" w:rsidRPr="00411793" w:rsidRDefault="009F592A" w:rsidP="002D215A">
      <w:pPr>
        <w:jc w:val="center"/>
        <w:rPr>
          <w:sz w:val="22"/>
          <w:szCs w:val="22"/>
          <w:lang w:val="en-US"/>
        </w:rPr>
      </w:pPr>
    </w:p>
    <w:p w:rsidR="009F592A" w:rsidRPr="00AD3734" w:rsidRDefault="009F592A" w:rsidP="000065A9">
      <w:pPr>
        <w:jc w:val="center"/>
        <w:rPr>
          <w:sz w:val="22"/>
          <w:szCs w:val="22"/>
        </w:rPr>
      </w:pPr>
      <w:r w:rsidRPr="00AD3734">
        <w:rPr>
          <w:sz w:val="22"/>
          <w:szCs w:val="22"/>
        </w:rPr>
        <w:t xml:space="preserve">Sin. </w:t>
      </w:r>
      <w:r w:rsidR="000065A9">
        <w:rPr>
          <w:sz w:val="22"/>
          <w:szCs w:val="22"/>
        </w:rPr>
        <w:t>Jon Luqui Albisua</w:t>
      </w:r>
    </w:p>
    <w:p w:rsidR="009F592A" w:rsidRPr="00AD3734" w:rsidRDefault="009F592A" w:rsidP="00AD3734">
      <w:pPr>
        <w:jc w:val="both"/>
        <w:rPr>
          <w:sz w:val="22"/>
          <w:szCs w:val="22"/>
        </w:rPr>
      </w:pPr>
    </w:p>
    <w:p w:rsidR="00843931" w:rsidRPr="00AD3734" w:rsidRDefault="00843931" w:rsidP="00AD3734">
      <w:pPr>
        <w:pStyle w:val="Textoindependiente"/>
        <w:rPr>
          <w:rFonts w:cs="Arial"/>
          <w:sz w:val="22"/>
          <w:szCs w:val="22"/>
        </w:rPr>
      </w:pPr>
      <w:bookmarkStart w:id="0" w:name="_GoBack"/>
      <w:bookmarkEnd w:id="0"/>
    </w:p>
    <w:sectPr w:rsidR="00843931" w:rsidRPr="00AD3734" w:rsidSect="00255902">
      <w:headerReference w:type="default" r:id="rId10"/>
      <w:footerReference w:type="default" r:id="rId11"/>
      <w:pgSz w:w="11906" w:h="16838"/>
      <w:pgMar w:top="2693" w:right="1701" w:bottom="2693" w:left="1701" w:header="70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287" w:rsidRDefault="00D04287">
      <w:r>
        <w:separator/>
      </w:r>
    </w:p>
  </w:endnote>
  <w:endnote w:type="continuationSeparator" w:id="0">
    <w:p w:rsidR="00D04287" w:rsidRDefault="00D04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>
    <w:pPr>
      <w:pStyle w:val="Piedepgina"/>
    </w:pPr>
  </w:p>
  <w:p w:rsidR="00D04287" w:rsidRDefault="00D04287">
    <w:pPr>
      <w:pStyle w:val="Piedepgina"/>
    </w:pPr>
  </w:p>
  <w:p w:rsidR="00D04287" w:rsidRDefault="00D042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287" w:rsidRDefault="00D04287">
      <w:r>
        <w:separator/>
      </w:r>
    </w:p>
  </w:footnote>
  <w:footnote w:type="continuationSeparator" w:id="0">
    <w:p w:rsidR="00D04287" w:rsidRDefault="00D04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287" w:rsidRDefault="00D04287" w:rsidP="00C1641F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4410075</wp:posOffset>
          </wp:positionH>
          <wp:positionV relativeFrom="paragraph">
            <wp:posOffset>-128905</wp:posOffset>
          </wp:positionV>
          <wp:extent cx="1212850" cy="1617345"/>
          <wp:effectExtent l="19050" t="0" r="6350" b="1905"/>
          <wp:wrapNone/>
          <wp:docPr id="7" name="Imagen 7" descr="urretxuko eskudo zaharra koloretan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rretxuko eskudo zaharra koloretan cop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1617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323975" cy="1104900"/>
          <wp:effectExtent l="19050" t="0" r="9525" b="0"/>
          <wp:wrapNone/>
          <wp:docPr id="5" name="Imagen 5" descr="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URU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4287" w:rsidRDefault="00D0428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3E83"/>
    <w:multiLevelType w:val="singleLevel"/>
    <w:tmpl w:val="BA08614C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373BDC"/>
    <w:multiLevelType w:val="singleLevel"/>
    <w:tmpl w:val="2BFE3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BC16E32"/>
    <w:multiLevelType w:val="hybridMultilevel"/>
    <w:tmpl w:val="A314C1DE"/>
    <w:lvl w:ilvl="0" w:tplc="9438D2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27854"/>
    <w:multiLevelType w:val="singleLevel"/>
    <w:tmpl w:val="068C9BC2"/>
    <w:lvl w:ilvl="0">
      <w:start w:val="94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49F10BC"/>
    <w:multiLevelType w:val="singleLevel"/>
    <w:tmpl w:val="6E9A81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31824B4"/>
    <w:multiLevelType w:val="hybridMultilevel"/>
    <w:tmpl w:val="6738506E"/>
    <w:lvl w:ilvl="0" w:tplc="0C0A0015">
      <w:start w:val="1"/>
      <w:numFmt w:val="upperLetter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3C519F8"/>
    <w:multiLevelType w:val="hybridMultilevel"/>
    <w:tmpl w:val="0856124A"/>
    <w:lvl w:ilvl="0" w:tplc="638EC3B8">
      <w:start w:val="1"/>
      <w:numFmt w:val="upperLetter"/>
      <w:lvlText w:val="%1)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43409"/>
    <w:multiLevelType w:val="singleLevel"/>
    <w:tmpl w:val="0D04C546"/>
    <w:lvl w:ilvl="0">
      <w:start w:val="5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abstractNum w:abstractNumId="8">
    <w:nsid w:val="48F359F7"/>
    <w:multiLevelType w:val="singleLevel"/>
    <w:tmpl w:val="2BFE3B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A735E93"/>
    <w:multiLevelType w:val="singleLevel"/>
    <w:tmpl w:val="CBBEEA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99D7D71"/>
    <w:multiLevelType w:val="hybridMultilevel"/>
    <w:tmpl w:val="4E4E57F6"/>
    <w:lvl w:ilvl="0" w:tplc="7F2C3ED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72"/>
    <w:rsid w:val="000065A9"/>
    <w:rsid w:val="000144C0"/>
    <w:rsid w:val="00021682"/>
    <w:rsid w:val="000415B3"/>
    <w:rsid w:val="00042226"/>
    <w:rsid w:val="0005234D"/>
    <w:rsid w:val="00064027"/>
    <w:rsid w:val="000653C7"/>
    <w:rsid w:val="000725E9"/>
    <w:rsid w:val="000750E8"/>
    <w:rsid w:val="00076C0D"/>
    <w:rsid w:val="00080A2A"/>
    <w:rsid w:val="00081F12"/>
    <w:rsid w:val="00082340"/>
    <w:rsid w:val="0008398A"/>
    <w:rsid w:val="00084DA8"/>
    <w:rsid w:val="00085BED"/>
    <w:rsid w:val="000A5187"/>
    <w:rsid w:val="000C0708"/>
    <w:rsid w:val="000C0E13"/>
    <w:rsid w:val="000C1D29"/>
    <w:rsid w:val="000D3C46"/>
    <w:rsid w:val="000E2D61"/>
    <w:rsid w:val="000E4F79"/>
    <w:rsid w:val="000F6C58"/>
    <w:rsid w:val="000F77CA"/>
    <w:rsid w:val="0010117E"/>
    <w:rsid w:val="00110003"/>
    <w:rsid w:val="0011405D"/>
    <w:rsid w:val="00121CFF"/>
    <w:rsid w:val="0014426F"/>
    <w:rsid w:val="001503C4"/>
    <w:rsid w:val="00154D48"/>
    <w:rsid w:val="00162048"/>
    <w:rsid w:val="001741D9"/>
    <w:rsid w:val="0017492F"/>
    <w:rsid w:val="00184779"/>
    <w:rsid w:val="00187376"/>
    <w:rsid w:val="001A3282"/>
    <w:rsid w:val="001B28EE"/>
    <w:rsid w:val="001B2A03"/>
    <w:rsid w:val="001B2AC6"/>
    <w:rsid w:val="001C0380"/>
    <w:rsid w:val="001E318B"/>
    <w:rsid w:val="001E5205"/>
    <w:rsid w:val="001F7F01"/>
    <w:rsid w:val="002056AE"/>
    <w:rsid w:val="00207B60"/>
    <w:rsid w:val="00215B5D"/>
    <w:rsid w:val="002175B6"/>
    <w:rsid w:val="002333EE"/>
    <w:rsid w:val="00236E61"/>
    <w:rsid w:val="00255902"/>
    <w:rsid w:val="002617EF"/>
    <w:rsid w:val="002767D2"/>
    <w:rsid w:val="00282D26"/>
    <w:rsid w:val="002A33DB"/>
    <w:rsid w:val="002A3B79"/>
    <w:rsid w:val="002B34C0"/>
    <w:rsid w:val="002C25B8"/>
    <w:rsid w:val="002D215A"/>
    <w:rsid w:val="002D5264"/>
    <w:rsid w:val="002F0A26"/>
    <w:rsid w:val="002F0DC9"/>
    <w:rsid w:val="002F2B50"/>
    <w:rsid w:val="002F49D2"/>
    <w:rsid w:val="002F7DA7"/>
    <w:rsid w:val="00303643"/>
    <w:rsid w:val="00304854"/>
    <w:rsid w:val="00305984"/>
    <w:rsid w:val="003069AD"/>
    <w:rsid w:val="003304E9"/>
    <w:rsid w:val="00332F72"/>
    <w:rsid w:val="00333F23"/>
    <w:rsid w:val="003414C3"/>
    <w:rsid w:val="00350F4D"/>
    <w:rsid w:val="0035479F"/>
    <w:rsid w:val="0037109C"/>
    <w:rsid w:val="00377AB8"/>
    <w:rsid w:val="0038726F"/>
    <w:rsid w:val="0039339D"/>
    <w:rsid w:val="003A543C"/>
    <w:rsid w:val="003A591B"/>
    <w:rsid w:val="003A7C05"/>
    <w:rsid w:val="003B3A1A"/>
    <w:rsid w:val="003B51CE"/>
    <w:rsid w:val="003C0B1A"/>
    <w:rsid w:val="003C7C19"/>
    <w:rsid w:val="003D4CC6"/>
    <w:rsid w:val="003D74BE"/>
    <w:rsid w:val="003E68E6"/>
    <w:rsid w:val="003F2DD8"/>
    <w:rsid w:val="004002C4"/>
    <w:rsid w:val="004042FF"/>
    <w:rsid w:val="00411793"/>
    <w:rsid w:val="00420DB6"/>
    <w:rsid w:val="0042521B"/>
    <w:rsid w:val="00427257"/>
    <w:rsid w:val="0043202D"/>
    <w:rsid w:val="0045637D"/>
    <w:rsid w:val="00471E0F"/>
    <w:rsid w:val="00484302"/>
    <w:rsid w:val="00485DD3"/>
    <w:rsid w:val="00486218"/>
    <w:rsid w:val="004953AE"/>
    <w:rsid w:val="00496413"/>
    <w:rsid w:val="004A54D0"/>
    <w:rsid w:val="004A599C"/>
    <w:rsid w:val="004A7F7B"/>
    <w:rsid w:val="004C71CB"/>
    <w:rsid w:val="004D4DAC"/>
    <w:rsid w:val="004E11B6"/>
    <w:rsid w:val="0050254B"/>
    <w:rsid w:val="00502FA7"/>
    <w:rsid w:val="00506DE1"/>
    <w:rsid w:val="0051734E"/>
    <w:rsid w:val="00523566"/>
    <w:rsid w:val="00526BD8"/>
    <w:rsid w:val="00531B34"/>
    <w:rsid w:val="00534C26"/>
    <w:rsid w:val="00545B82"/>
    <w:rsid w:val="00556E68"/>
    <w:rsid w:val="005642C4"/>
    <w:rsid w:val="00566B53"/>
    <w:rsid w:val="005738A3"/>
    <w:rsid w:val="00590628"/>
    <w:rsid w:val="005A1650"/>
    <w:rsid w:val="005A2462"/>
    <w:rsid w:val="005B18F7"/>
    <w:rsid w:val="005B2788"/>
    <w:rsid w:val="005B5B93"/>
    <w:rsid w:val="005C63CB"/>
    <w:rsid w:val="005D13AD"/>
    <w:rsid w:val="005E14BB"/>
    <w:rsid w:val="006064D6"/>
    <w:rsid w:val="00610A75"/>
    <w:rsid w:val="00622D5E"/>
    <w:rsid w:val="00626F59"/>
    <w:rsid w:val="00627D65"/>
    <w:rsid w:val="006330B3"/>
    <w:rsid w:val="00641931"/>
    <w:rsid w:val="00654C7D"/>
    <w:rsid w:val="006607A3"/>
    <w:rsid w:val="00663184"/>
    <w:rsid w:val="00677406"/>
    <w:rsid w:val="00690BBC"/>
    <w:rsid w:val="006931B4"/>
    <w:rsid w:val="006966E3"/>
    <w:rsid w:val="006B557A"/>
    <w:rsid w:val="006B7E95"/>
    <w:rsid w:val="006E2802"/>
    <w:rsid w:val="006E65DE"/>
    <w:rsid w:val="006F5963"/>
    <w:rsid w:val="006F5AB0"/>
    <w:rsid w:val="007214FA"/>
    <w:rsid w:val="00725B88"/>
    <w:rsid w:val="007316B5"/>
    <w:rsid w:val="00747C12"/>
    <w:rsid w:val="007707A9"/>
    <w:rsid w:val="0079046E"/>
    <w:rsid w:val="00791A18"/>
    <w:rsid w:val="00796880"/>
    <w:rsid w:val="007A542B"/>
    <w:rsid w:val="007F5936"/>
    <w:rsid w:val="00803418"/>
    <w:rsid w:val="00810092"/>
    <w:rsid w:val="00813169"/>
    <w:rsid w:val="008228B6"/>
    <w:rsid w:val="00837FCE"/>
    <w:rsid w:val="00843931"/>
    <w:rsid w:val="00844BE7"/>
    <w:rsid w:val="008613FD"/>
    <w:rsid w:val="00861D2B"/>
    <w:rsid w:val="008743F9"/>
    <w:rsid w:val="008923E9"/>
    <w:rsid w:val="0089383D"/>
    <w:rsid w:val="008B0B31"/>
    <w:rsid w:val="008B69B8"/>
    <w:rsid w:val="008B7933"/>
    <w:rsid w:val="008E681D"/>
    <w:rsid w:val="009155A2"/>
    <w:rsid w:val="00920F31"/>
    <w:rsid w:val="00921C8C"/>
    <w:rsid w:val="00934644"/>
    <w:rsid w:val="0095209C"/>
    <w:rsid w:val="00955CD2"/>
    <w:rsid w:val="00961DB5"/>
    <w:rsid w:val="00963C4B"/>
    <w:rsid w:val="009667AC"/>
    <w:rsid w:val="0097235D"/>
    <w:rsid w:val="00977FCB"/>
    <w:rsid w:val="0098060D"/>
    <w:rsid w:val="00982910"/>
    <w:rsid w:val="009A20BC"/>
    <w:rsid w:val="009B2F2F"/>
    <w:rsid w:val="009B55F4"/>
    <w:rsid w:val="009C4999"/>
    <w:rsid w:val="009D1E89"/>
    <w:rsid w:val="009D79FE"/>
    <w:rsid w:val="009E12E2"/>
    <w:rsid w:val="009E6F01"/>
    <w:rsid w:val="009F592A"/>
    <w:rsid w:val="00A17723"/>
    <w:rsid w:val="00A2108B"/>
    <w:rsid w:val="00A43B45"/>
    <w:rsid w:val="00A541F3"/>
    <w:rsid w:val="00A658FC"/>
    <w:rsid w:val="00A7654C"/>
    <w:rsid w:val="00A965FD"/>
    <w:rsid w:val="00AA141C"/>
    <w:rsid w:val="00AA1C07"/>
    <w:rsid w:val="00AA7496"/>
    <w:rsid w:val="00AB6D47"/>
    <w:rsid w:val="00AC5762"/>
    <w:rsid w:val="00AD3734"/>
    <w:rsid w:val="00AE01A1"/>
    <w:rsid w:val="00B0041E"/>
    <w:rsid w:val="00B04DA2"/>
    <w:rsid w:val="00B072FF"/>
    <w:rsid w:val="00B11F46"/>
    <w:rsid w:val="00B17B0E"/>
    <w:rsid w:val="00B22220"/>
    <w:rsid w:val="00B268EC"/>
    <w:rsid w:val="00B30CB2"/>
    <w:rsid w:val="00B41C53"/>
    <w:rsid w:val="00B43158"/>
    <w:rsid w:val="00B5680B"/>
    <w:rsid w:val="00B804E7"/>
    <w:rsid w:val="00B92335"/>
    <w:rsid w:val="00B95125"/>
    <w:rsid w:val="00B95D17"/>
    <w:rsid w:val="00BA6073"/>
    <w:rsid w:val="00BB7860"/>
    <w:rsid w:val="00BC6E86"/>
    <w:rsid w:val="00BE7D47"/>
    <w:rsid w:val="00BF1246"/>
    <w:rsid w:val="00C028D0"/>
    <w:rsid w:val="00C1641F"/>
    <w:rsid w:val="00C209DE"/>
    <w:rsid w:val="00C31E66"/>
    <w:rsid w:val="00C403EB"/>
    <w:rsid w:val="00C43C44"/>
    <w:rsid w:val="00C53B06"/>
    <w:rsid w:val="00C57451"/>
    <w:rsid w:val="00C63E2B"/>
    <w:rsid w:val="00C66FF0"/>
    <w:rsid w:val="00C767B7"/>
    <w:rsid w:val="00C7773C"/>
    <w:rsid w:val="00C91086"/>
    <w:rsid w:val="00C91C81"/>
    <w:rsid w:val="00CE4F57"/>
    <w:rsid w:val="00CE6149"/>
    <w:rsid w:val="00CF53E4"/>
    <w:rsid w:val="00D04287"/>
    <w:rsid w:val="00D1305C"/>
    <w:rsid w:val="00D14235"/>
    <w:rsid w:val="00D24823"/>
    <w:rsid w:val="00D27D62"/>
    <w:rsid w:val="00D30759"/>
    <w:rsid w:val="00D478FD"/>
    <w:rsid w:val="00D54188"/>
    <w:rsid w:val="00D55A38"/>
    <w:rsid w:val="00D66A3B"/>
    <w:rsid w:val="00D8056A"/>
    <w:rsid w:val="00DB22C8"/>
    <w:rsid w:val="00DB5321"/>
    <w:rsid w:val="00DB5410"/>
    <w:rsid w:val="00DC29FB"/>
    <w:rsid w:val="00DC4DC3"/>
    <w:rsid w:val="00DC7EE9"/>
    <w:rsid w:val="00DD49B9"/>
    <w:rsid w:val="00DD7501"/>
    <w:rsid w:val="00DE0001"/>
    <w:rsid w:val="00DF2AF0"/>
    <w:rsid w:val="00DF3FFF"/>
    <w:rsid w:val="00DF7349"/>
    <w:rsid w:val="00E173B5"/>
    <w:rsid w:val="00E26AB0"/>
    <w:rsid w:val="00E425CA"/>
    <w:rsid w:val="00E474BA"/>
    <w:rsid w:val="00E502E9"/>
    <w:rsid w:val="00E506D9"/>
    <w:rsid w:val="00E52D10"/>
    <w:rsid w:val="00E5488A"/>
    <w:rsid w:val="00E5798C"/>
    <w:rsid w:val="00E716A6"/>
    <w:rsid w:val="00E909F5"/>
    <w:rsid w:val="00E94A7F"/>
    <w:rsid w:val="00EA2C69"/>
    <w:rsid w:val="00EA4F21"/>
    <w:rsid w:val="00EA7BC8"/>
    <w:rsid w:val="00EB06C7"/>
    <w:rsid w:val="00EB253F"/>
    <w:rsid w:val="00EB2F35"/>
    <w:rsid w:val="00EB5562"/>
    <w:rsid w:val="00ED148C"/>
    <w:rsid w:val="00EE2430"/>
    <w:rsid w:val="00EE4F97"/>
    <w:rsid w:val="00F23F39"/>
    <w:rsid w:val="00F37CD2"/>
    <w:rsid w:val="00F5731C"/>
    <w:rsid w:val="00F63E10"/>
    <w:rsid w:val="00F707E9"/>
    <w:rsid w:val="00F72157"/>
    <w:rsid w:val="00F732AE"/>
    <w:rsid w:val="00F733C9"/>
    <w:rsid w:val="00F93796"/>
    <w:rsid w:val="00F964DC"/>
    <w:rsid w:val="00F96720"/>
    <w:rsid w:val="00FA6666"/>
    <w:rsid w:val="00FA760A"/>
    <w:rsid w:val="00FB17AA"/>
    <w:rsid w:val="00FC32AE"/>
    <w:rsid w:val="00FC6D14"/>
    <w:rsid w:val="00FC7B21"/>
    <w:rsid w:val="00FF560B"/>
    <w:rsid w:val="00FF5A7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docId w15:val="{ABC7A116-A1C1-48AA-9F5A-58778AE5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26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F72157"/>
    <w:pPr>
      <w:keepNext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641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641F"/>
    <w:pPr>
      <w:tabs>
        <w:tab w:val="center" w:pos="4252"/>
        <w:tab w:val="right" w:pos="8504"/>
      </w:tabs>
    </w:pPr>
  </w:style>
  <w:style w:type="paragraph" w:customStyle="1" w:styleId="26norma">
    <w:name w:val="2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1norma">
    <w:name w:val="11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6norma">
    <w:name w:val="06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03norma">
    <w:name w:val="03norma"/>
    <w:basedOn w:val="Normal"/>
    <w:rsid w:val="0014426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deglobo">
    <w:name w:val="Balloon Text"/>
    <w:basedOn w:val="Normal"/>
    <w:semiHidden/>
    <w:rsid w:val="00B2222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F72157"/>
    <w:rPr>
      <w:rFonts w:ascii="Arial" w:hAnsi="Arial"/>
      <w:sz w:val="24"/>
    </w:rPr>
  </w:style>
  <w:style w:type="paragraph" w:styleId="Textoindependiente">
    <w:name w:val="Body Text"/>
    <w:basedOn w:val="Normal"/>
    <w:link w:val="TextoindependienteCar"/>
    <w:rsid w:val="00F72157"/>
    <w:pPr>
      <w:jc w:val="both"/>
    </w:pPr>
    <w:rPr>
      <w:sz w:val="23"/>
    </w:rPr>
  </w:style>
  <w:style w:type="character" w:customStyle="1" w:styleId="TextoindependienteCar">
    <w:name w:val="Texto independiente Car"/>
    <w:basedOn w:val="Fuentedeprrafopredeter"/>
    <w:link w:val="Textoindependiente"/>
    <w:rsid w:val="00F72157"/>
    <w:rPr>
      <w:rFonts w:ascii="Arial" w:hAnsi="Arial"/>
      <w:sz w:val="23"/>
    </w:rPr>
  </w:style>
  <w:style w:type="table" w:styleId="Tablaconcuadrcula">
    <w:name w:val="Table Grid"/>
    <w:basedOn w:val="Tablanormal"/>
    <w:uiPriority w:val="99"/>
    <w:rsid w:val="006E2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84393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43931"/>
    <w:rPr>
      <w:rFonts w:ascii="Arial" w:hAnsi="Arial"/>
      <w:sz w:val="24"/>
    </w:rPr>
  </w:style>
  <w:style w:type="character" w:styleId="Hipervnculo">
    <w:name w:val="Hyperlink"/>
    <w:basedOn w:val="Fuentedeprrafopredeter"/>
    <w:rsid w:val="009F592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2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retxu.e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retxu.eu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9BAE6-1B20-40BE-815E-5F1895B7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3505</CharactersWithSpaces>
  <SharedDoc>false</SharedDoc>
  <HLinks>
    <vt:vector size="12" baseType="variant"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  <vt:variant>
        <vt:i4>3604596</vt:i4>
      </vt:variant>
      <vt:variant>
        <vt:i4>0</vt:i4>
      </vt:variant>
      <vt:variant>
        <vt:i4>0</vt:i4>
      </vt:variant>
      <vt:variant>
        <vt:i4>5</vt:i4>
      </vt:variant>
      <vt:variant>
        <vt:lpwstr>http://www.urretxu.net/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jose</dc:creator>
  <cp:lastModifiedBy>mari jose</cp:lastModifiedBy>
  <cp:revision>2</cp:revision>
  <cp:lastPrinted>2016-03-23T10:36:00Z</cp:lastPrinted>
  <dcterms:created xsi:type="dcterms:W3CDTF">2016-03-23T10:36:00Z</dcterms:created>
  <dcterms:modified xsi:type="dcterms:W3CDTF">2016-03-23T10:36:00Z</dcterms:modified>
</cp:coreProperties>
</file>